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drawing>
          <wp:inline distT="0" distB="0" distL="0" distR="0">
            <wp:extent cx="1032510" cy="715659"/>
            <wp:effectExtent l="19050" t="0" r="0" b="0"/>
            <wp:docPr id="1" name="Immagine 1" descr="File:Commissione europea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mmissione europea.svg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82" cy="71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LIFE 2021-2027 – Sottoprogramma Natura e biodiversità: bando per progetti d’azione standard (SAP)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</w:pPr>
      <w:proofErr w:type="spellStart"/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  <w:t>Titolo</w:t>
      </w:r>
      <w:proofErr w:type="spellEnd"/>
    </w:p>
    <w:p w:rsidR="00707800" w:rsidRPr="00707800" w:rsidRDefault="00707800" w:rsidP="00707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proofErr w:type="spellStart"/>
      <w:r w:rsidRPr="00707800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Programme</w:t>
      </w:r>
      <w:proofErr w:type="spellEnd"/>
      <w:r w:rsidRPr="00707800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 for the Environment and Climate Action (LIFE). Call for proposals -Nature &amp; Biodiversity - Standard Action Projects (SAP)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Oggetto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Bando 2021 per progetti standard nel quadro del Sottoprogramma Natura e biodiversità di LIFE. 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I progetti d'azione standard corrispondono ai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progetti 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“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tradizionali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” della precedente programmazione di Life e hanno l'intento di: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sviluppare, dimostrare e promuovere tecniche, metodi e approcci innovativi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(ovvero soluzioni nuove rispetto allo stato dell'arte a livello di Stato membro/di settore e che sono attuate su scala operativa e in condizioni da consentire un impatto significativo (si veda il criterio di valutazione "impatto");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contribuire alla base di conoscenza e all'applicazione delle migliori pratiche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: con "migliore prassi" si intendono soluzioni, tecniche, metodi e approcci appropriati, efficienti e all'avanguardia (a livello di Stato membro/di settore), attuate su scala operativa e in condizioni da consentire un impatto significativo (si veda il criterio di valutazione "impatto");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sostenere lo sviluppo, l'attuazione, il monitoraggio e l'applicazione della legislazione e della politica dell'UE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, anche migliorando la governance a tutti i livelli, in particolare rafforzando le capacità degli attori pubblici e privati e il coinvolgimento della società civile;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catalizzare la diffusione su larga scala di soluzioni tecniche e politiche di successo per l'attuazione della legislazione e della politica dell'UE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, replicando i risultati, integrando gli obiettivi correlati in altre politiche e nelle pratiche del settore pubblico e privato, mobilitando investimenti e migliorando l'accesso ai finanziamenti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I progetti possono essere vicini al mercato, ossia mirare non solo a fornire soluzioni ambientali migliori, ma anche a garantire che tali soluzioni siano ampiamente adottate dalla società in generale e, più in particolare, dall'economia attraverso un esplicito approccio orientato al mercato (per progetti di questo tipo i proponenti dovranno evidenziare questo aspetto nella proposta progettuale).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Fonte</w:t>
      </w:r>
    </w:p>
    <w:p w:rsidR="00707800" w:rsidRPr="00707800" w:rsidRDefault="00707800" w:rsidP="00707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Commissione europea LIFE-2021-SAP-NAT del 15/7/2021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Obiettivo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Il sottoprogramma Natura e biodiversità ha i seguenti obiettivi specifici: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- sviluppare, dimostrare, promuovere e stimolare lo sviluppo di tecniche, metodi e approcci innovativi (comprese le soluzioni basate sulla natura e l'approccio ecosistemico) per raggiungere gli obiettivi della legislazione e della politica dell'UE in materia di natura e biodiversità e contribuire alla base di conoscenze e all'applicazione delle migliori pratiche, anche attraverso il sostegno di Natura 2000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- sostenere lo sviluppo, l'attuazione, il monitoraggio e l'applicazione della legislazione e della politica dell'UE in materia di natura e biodiversità, anche migliorando la governance a tutti i livelli, in particolare rafforzando le capacità degli attori pubblici e privati e coinvolgendo la società civile,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- catalizzare la diffusione su larga scala di soluzioni/approcci di successo per l'attuazione della legislazione e della politica dell'UE in materia di natura e biodiversità, replicando i risultati, integrando obiettivi correlati in altre politiche e nelle pratiche del settore pubblico e privato, mobilitando investimenti e migliorando l'accesso ai finanziamenti.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Azioni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Il bando comprende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 topic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(una proposta progettuale deve riguardare un solo topic ).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  <w:t>- LIFE-2021-SAP-NAT-NATURE — Nature and Biodiversity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Aree di intervento: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- Spazio per la natura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- Salvaguardia delle nostre specie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it-IT"/>
        </w:rPr>
        <w:t>LIFE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  <w:t>-2021-SAP-NAT-GOV — Nature Governance</w:t>
      </w:r>
      <w:r w:rsidRPr="00707800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br/>
        <w:t> 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I singoli settori/temi ammissibili per i progetti, e le priorità, sono dettagliati nel testo della </w:t>
      </w:r>
      <w:hyperlink r:id="rId5" w:history="1">
        <w:r w:rsidRPr="00707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call</w:t>
        </w:r>
      </w:hyperlink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Beneficiari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Persone giuridiche, pubbliche e private, stabilite in uno dei Paesi ammissibili a LIFE, ovvero Stati UE, compresi PTOM, e alcuni altri paesi (l'elenco aggiornato è scaricabile </w:t>
      </w:r>
      <w:hyperlink r:id="rId6" w:history="1">
        <w:r w:rsidRPr="00707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qui</w:t>
        </w:r>
      </w:hyperlink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); organizzazioni internazionali.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Entità Contributo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Per entrambi i topic il contributo UE può coprire fio al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60%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dei costi del progetto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Per il topic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LIFE-2021-SAP-NAT-NATURE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il budget complessivo di un progetto deve essere compreso fra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 2 e 13 milioni di euro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; saranno finanziati indicativamente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35 progetti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Per il topic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LIFE-2021-SAP-NAT-GOV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il budget complessivo di un progetto deve essere compreso fra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0,7 e 2 milioni di euro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; saranno finanziati indicativamente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 progetti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Modalità e procedura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Ognuno dei topic prevede documentazione specifica per la presentazione di una proposta progettuale.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Oltre alla documentazione ufficiale di riferimento CINEA ha preparato delle registrazioni e della documentazione di approfondimento dedicata ai potenziali proponenti per illustrare i contenuti del bando, disponibile sulla </w:t>
      </w:r>
      <w:hyperlink r:id="rId7" w:anchor="ecl-inpage-1774" w:history="1">
        <w:r w:rsidRPr="00707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pagina web</w:t>
        </w:r>
      </w:hyperlink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di riferimento del bando (le informazioni sono dedicate al programma in generale e ai singoli sottoprogrammi)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Scadenza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30 novembre 2021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,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ore 17 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(ora di Bruxelles)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Referente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CINEA - Agenzia esecutiva europea per il clima, le infrastrutture e l’ambiente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Portale Funding &amp; tender della Commissione europea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Risorse finanziarie disponibili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LIFE-2021-SAP-ENV-ENVIRONMENT: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132.470.000 €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LIFE-2021-SAP-ENV-GOV: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3.000.000 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LIFE 2021-2027 – Sottoprogramma Transizione all’energia pulita - Bando azioni di coordinamento e di sostegno (CSA)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</w:pPr>
      <w:proofErr w:type="spellStart"/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  <w:t>Titolo</w:t>
      </w:r>
      <w:proofErr w:type="spellEnd"/>
    </w:p>
    <w:p w:rsidR="00707800" w:rsidRPr="00707800" w:rsidRDefault="00707800" w:rsidP="00707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proofErr w:type="spellStart"/>
      <w:r w:rsidRPr="00707800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Programme</w:t>
      </w:r>
      <w:proofErr w:type="spellEnd"/>
      <w:r w:rsidRPr="00707800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 for the Environment and Climate Action (LIFE) - Call for proposals: LIFE Clean Energy Transition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Oggetto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Bando per azioni di coordinamento e di sostegno (CSA) nel quadro del sottoprogramma Transizione all’energia pulita, volto a facilitare la transizione verso un'economia efficiente dal punto di vista energetico, basata sull'energia rinnovabile, climaticamente neutra e resiliente.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Fonte</w:t>
      </w:r>
    </w:p>
    <w:p w:rsidR="00707800" w:rsidRPr="00707800" w:rsidRDefault="00707800" w:rsidP="00707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Commissione europea LIFE-2021-CET del 15/7/2021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Ente Erogatore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Commissione europea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Obiettivo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Il sottoprogramma Transizione all’energia pulita ha i seguenti obiettivi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- sviluppare, dimostrare e promuovere tecniche, metodi e approcci innovativi per raggiungere gli obiettivi della legislazione e della politica dell'UE sulla transizione verso l'energia rinnovabile sostenibile e una maggiore efficienza energetica e contribuire alla base di conoscenze e all'applicazione delle migliori pratiche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- sostenere lo sviluppo, l'attuazione, il monitoraggio e l'applicazione della legislazione e della politica dell'UE sulla transizione verso l'energia rinnovabile sostenibile o una maggiore efficienza energetica, anche migliorando la governance a tutti i livelli, in particolare rafforzando le capacità degli attori pubblici e privati e il coinvolgimento della società civile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- catalizzare la diffusione su larga scala di soluzioni tecniche e politiche di successo per l'attuazione della legislazione dell'UE sulla transizione verso l'energia rinnovabile o una maggiore efficienza energetica replicando i risultati, integrando gli obiettivi correlati in altre politiche e nelle pratiche del settore pubblico e privato, mobilitando investimenti e migliorando l'accesso ai finanziamenti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Azioni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Il bando finanzia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azioni di coordinamento e sostegno (CSA)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che sono azione ad elevato valore aggiunto tese a rompere le barriere del mercato che ostacolano la transizione socioeconomica verso l'energia sostenibile, coinvolgendo in genere più parti interessate di piccole e medie dimensioni, più attori tra cui autorità pubbliche locali e regionali e organizzazioni senza scopo di lucro, nonché i consumatori.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Il bando riguarda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 topic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, per ognuno dei quali sarà finanziata una sola proposta progettuale.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I topic sono raggruppati nell’ambito di 5 temi.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Tema 1: Costruire un quadro politico nazionale, regionale e locale a sostegno della transizione verso l'energia pulita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70780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Topic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LIFE-2021-CET-LOCAL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: 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Supporto tecnico ai piani e alle strategie di transizione verso l'energia pulita nei comuni e nelle regioni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LIFE-2021-CET-POLICY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: 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Verso un'efficace attuazione della legislazione chiave nel campo dell'energia sostenibile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70780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Ambiti d’azione: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A. Supporto all’implementazione della direttiva sull’efficienza energetica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B. Supporto all’implementazione della direttiva sull’energia rinnovabile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LIFE-2021-CET-GOV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: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Dialogo multilivello su clima ed energia per garantire la governance dell'energia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Tema 2: Accelerare il roll-out tecnologico, la digitalizzazione, nuovi servizi e modelli di business e la valorizzazione delle competenze professionali collegate sul mercato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70780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Topic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LIFE-2021-CET-BUILDRENO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: Lancio su larga scala di soluzioni industrializzate di ristrutturazione profonda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- L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IFE-2021-CET-AUDITS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: 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Recepimento delle raccomandazioni sugli audit energetici per la transizione energetica delle aziende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-</w:t>
      </w:r>
      <w:r w:rsidRPr="0070780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LIFE-2021-CET-VALUECHAIN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: Promuovere l'assorbimento di energia sostenibile lungo l'intera catena del valore nell'industria e nei servizi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LIFE-2021-CET-BUILDSKILLS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: BUILD UP Skills: riavviare le piattaforme nazionali e le Roadmap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LIFE-2021-CET-COOLING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: Affrontare l'aumento della domanda di raffrescamento degli edifici nei prossimi anni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LIFE-2021-CET-SMARTSERV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: Stabilire modelli di business innovativi e meccanismi contrattuali per servizi energetici intelligenti e di integrazione del settore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LIFE-2021-CET-SMARTREADY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: Creare le condizioni per un miglioramento globale della preparazione intelligente degli edifici europei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Tema 3: Attrarre finanziamenti privati per l'energia sostenibile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70780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Topic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LIFE-2021-CET-MAINSTREAM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: Rendere ordinario il finanziamento dell'energia sostenibile e integrare le prestazioni energetiche nei criteri e negli standard di finanziamento sostenibile dell'UE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LIFE-2021-CET-INNOFIN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: Schemi di finanziamento innovativi per investimenti nell'energia sostenibile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Tema 4. Sostenere lo sviluppo di progetti di investimento locali e regionali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70780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Topic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LIFE-2021-CET-HOMERENO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: Servizi integrati di ristrutturazione delle abitazioni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LIFE-2021-CET-HOMERECOM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: Comunità a livello i UE di professionisti “dei servizi integrati di ristrutturazione di abitazioni”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LIFE-2021-CET-COALREGIONS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: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Transizione all'energia pulita guidata dalla comunità nelle regioni del carbone, della torba e degli scisti bituminosi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LIFE-2021-CET-PDA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: PDA (Assistenza allo sviluppo di progetti) eccezionale – Assistenza tecnica per far avanzare i confini del mercato per investimenti energetici sostenibili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 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Tema 5: Coinvolgere e responsabilizzare i cittadini nella transizione verso l'energia pulita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Topic: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LIFE-2021-CET-ENERPOV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: Affrontare gli interventi negli edifici per i distretti vulnerabili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LIFE-2021-CET-ENERCOM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: Sviluppare meccanismi di sostegno per le comunità energetiche e altre iniziative guidate dai cittadini nel campo della sostenibilità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I contenuti e i requisiti stabiliti per i singoli topic sono dettagliati nel testo della </w:t>
      </w:r>
      <w:hyperlink r:id="rId8" w:history="1">
        <w:r w:rsidRPr="00707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call</w:t>
        </w:r>
      </w:hyperlink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Beneficiari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Persone giuridiche, pubbliche e private, stabilite in uno dei Paesi ammissibili a LIFE, ovvero Stati UE, compresi PTOM, e alcuni altri paesi (l'elenco aggiornato è scaricabile </w:t>
      </w:r>
      <w:hyperlink r:id="rId9" w:history="1">
        <w:r w:rsidRPr="00707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qui</w:t>
        </w:r>
      </w:hyperlink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); organizzazioni internazionali.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Per la gran parte dei topic una proposta progettuale deve essere presentata da un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partenariato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di almeno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3 beneficiari di 3 diversi Stati ammissibili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. Fanno eccezione i topic: LIFE-2021-CET-BUILDSKILLS, LIFE-2021-CET-PDA e LIFE-2021-CET-HOMERENO per i quali una proposta progettuale può essere presentata dal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solo proponente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Entità Contributo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Il contributo UE può coprire fio al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95%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dei costi del progetto, per un valore massimo pari al budget del topic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Modalità e procedura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Ognuno dei topic prevede documentazione specifica per la presentazione di una proposta progettuale.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Oltre alla documentazione ufficiale di riferimento CINEA ha preparato delle registrazioni e della documentazione di approfondimento dedicata ai potenziali proponenti per illustrare i contenuti del bando, disponibile sulla </w:t>
      </w:r>
      <w:hyperlink r:id="rId10" w:anchor="ecl-inpage-1777" w:history="1">
        <w:r w:rsidRPr="00707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pagina web</w:t>
        </w:r>
      </w:hyperlink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del bando (le informazioni di approfondimento sono specifiche per ogni topic).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Scadenza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12 gennaio 2022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,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ore 17 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(ora di Bruxelles)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Referente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CINEA - Agenzia esecutiva europea per il clima, le infrastrutture e l’ambiente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Portale Funding &amp; tender della Commissione europea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LIFE 2021-2027 – Economia circolare e qualità della vita: bando per progetti d’azione standard (SAP)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</w:pPr>
      <w:proofErr w:type="spellStart"/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  <w:t>Titolo</w:t>
      </w:r>
      <w:proofErr w:type="spellEnd"/>
    </w:p>
    <w:p w:rsidR="00707800" w:rsidRPr="00707800" w:rsidRDefault="00707800" w:rsidP="00707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proofErr w:type="spellStart"/>
      <w:r w:rsidRPr="00707800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Programme</w:t>
      </w:r>
      <w:proofErr w:type="spellEnd"/>
      <w:r w:rsidRPr="00707800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 for the Environment and Climate Action (LIFE). Call for proposals: Circular Economy and Quality of Life - Standard Action Projects (SAP)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Oggetto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Bando per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progetti d'azione standard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nel quadro del sottoprogramma </w:t>
      </w:r>
      <w:r w:rsidRPr="0070780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Ambiente e qualità della vita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del programma LIFE. I progetti d'azione standard corrispondono ai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progetti 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“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tradizionali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” della precedente programmazione di Life e hanno l'intento di: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sviluppare, dimostrare e promuovere tecniche, metodi e approcci innovativi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(ovvero soluzioni nuove rispetto allo stato dell'arte a livello di Stato membro/di settore e che sono attuate su scala operativa e in condizioni da consentire un impatto significativo (si veda il criterio di valutazione "impatto");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contribuire alla base di conoscenza e all'applicazione delle migliori pratiche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: con "migliore prassi" si intendono soluzioni, tecniche, metodi e approcci appropriati, efficienti e all'avanguardia (a livello di Stato membro/di settore), attuate su scala operativa e in condizioni da consentire un impatto significativo (si veda il criterio di valutazione "impatto");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sostenere lo sviluppo, l'attuazione, il monitoraggio e l'applicazione della legislazione e della politica dell'UE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, anche migliorando la governance a tutti i livelli, in particolare rafforzando le capacità degli attori pubblici e privati e il coinvolgimento della società civile;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- 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catalizzare la diffusione su larga scala di soluzioni tecniche e politiche di successo per l'attuazione della legislazione e della politica dell'UE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, replicando i risultati, integrando gli obiettivi correlati in altre politiche e nelle pratiche del settore pubblico e privato, mobilitando investimenti e migliorando l'accesso ai finanziamenti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I progetti possono essere vicini al mercato, ossia mirare non solo a fornire soluzioni ambientali migliori, ma anche a garantire che tali soluzioni siano ampiamente adottate dalla società in generale e, più in particolare, dall'economia attraverso un esplicito approccio orientato al mercato (per progetti di questo tipo i proponenti dovranno evidenziare questo aspetto nella proposta progettuale).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Fonte</w:t>
      </w:r>
    </w:p>
    <w:p w:rsidR="00707800" w:rsidRPr="00707800" w:rsidRDefault="00707800" w:rsidP="00707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Commissione europea LIFE-2021-SAP-ENV del 15/7/2021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Ente Erogatore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Commissione europea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Obiettivo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Il sottoprogramma Economia circolare e qualità della vita mira a facilitare la transizione verso un'economia sostenibile, circolare, priva di sostanze tossiche, efficiente dal punto di vista energetico e resiliente al clima e a proteggere, ripristinare e migliorare la qualità dell'ambiente.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Azioni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Il bando comprende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 topic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(una proposta progettuale deve riguardare un solo topic, e al suo interno uno o più settori/temi).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  <w:t>- LIFE-2021-SAP-ENV-ENVIRONMENT — Circular Economy, resources from Waste, Air, Water, Soil, Noise, Chemicals, Bauhaus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Settori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1. Economia circolare e rifiuti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1.1 Recupero di risorse dai rifiuti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1.2 Economia circolare e ambiente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2. Aria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2.1 Legislazione sulla qualità dell’aria e direttiva NEC (Limiti emissioni nazionali)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2.2 Direttiva sulle emissioni industriali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3. Acqua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3.1. Quantità e qualità dell’acqua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3.2. Gestione delle acque marittime e costiere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3.3. Servizi idrici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lastRenderedPageBreak/>
        <w:t>4. Suolo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br/>
        <w:t>5. Rumore</w:t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br/>
        <w:t>6. Prodotti chimici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70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7. Un nuovo Bauhaus europeo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- LIFE-2021-SAP-ENV-GOV — Environmental Governance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Temi da coprire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1. Attività a supporto del processo decisionale e degli approcci volontari delle pubbliche amministrazioni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2. Garanzia di conformità ambientale e accesso alla giustizia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3. Cambiamento comportamentale e iniziative di sensibilizzazione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I singoli settori/temi sono dettagliati nel testo della </w:t>
      </w:r>
      <w:hyperlink r:id="rId11" w:history="1">
        <w:r w:rsidRPr="00707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call</w:t>
        </w:r>
      </w:hyperlink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Beneficiari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Persone giuridiche, pubbliche e private, stabilite in uno dei Paesi ammissibili a LIFE, ovvero Stati UE, compresi PTOM, e alcuni altri paesi (l'elenco aggiornato è scaricabile </w:t>
      </w:r>
      <w:hyperlink r:id="rId12" w:history="1">
        <w:r w:rsidRPr="00707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qui</w:t>
        </w:r>
      </w:hyperlink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); organizzazioni internazionali.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Entità Contributo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Per entrambi i topic il contributo UE può coprire fio al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60%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dei costi del progetto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Per il topic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LIFE-2021-SAP-ENV-ENVIRONMENT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il budget complessivo del progetto deve essere compreso fra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 e 10 milioni di euro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; saranno finanziati indicativamente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 50 progetti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Per il topic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 LIFE-2021-SAP-ENV-GOV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il budget complessivo del progetto deve essere compreso fra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0,7 e 2 milioni di euro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; saranno finanziati indicativamente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 5 progetti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Modalità e procedura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Ognuno dei topic prevede documentazione specifica per la presentazione di una proposta progettuale.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Oltre alla documentazione ufficiale di riferimento CINEA ha preparato delle registrazioni e della documentazione di approfondimento dedicata ai potenziali proponenti per illustrare i contenuti del bando, disponibile sulla </w:t>
      </w:r>
      <w:hyperlink r:id="rId13" w:anchor="ecl-inpage-1380" w:history="1">
        <w:r w:rsidRPr="007078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pagina web</w:t>
        </w:r>
      </w:hyperlink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 di riferimento (le informazioni sono dedicate al programma in generale e ai singoli sottoprogrammi).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Scadenza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30 novembre 2021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,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ore 17 </w:t>
      </w: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(ora di Bruxelles)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Referente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CINEA - Agenzia esecutiva europea per il clima, le infrastrutture e l’ambiente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Portale Funding &amp; tender della Commissione europea</w:t>
      </w:r>
    </w:p>
    <w:p w:rsidR="00707800" w:rsidRPr="00707800" w:rsidRDefault="00707800" w:rsidP="00707800">
      <w:pPr>
        <w:shd w:val="clear" w:color="auto" w:fill="EFEFEF"/>
        <w:spacing w:before="18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Risorse finanziarie disponibili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- LIFE-2021-SAP-ENV-ENVIRONMENT: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95.420.656 €</w:t>
      </w:r>
    </w:p>
    <w:p w:rsidR="00707800" w:rsidRPr="00707800" w:rsidRDefault="00707800" w:rsidP="0070780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07800">
        <w:rPr>
          <w:rFonts w:ascii="Times New Roman" w:eastAsia="Times New Roman" w:hAnsi="Times New Roman" w:cs="Times New Roman"/>
          <w:sz w:val="28"/>
          <w:szCs w:val="28"/>
          <w:lang w:eastAsia="it-IT"/>
        </w:rPr>
        <w:t>- LIFE-2021-SAP-ENV-GOV: </w:t>
      </w:r>
      <w:r w:rsidRPr="007078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5.000.000 €</w:t>
      </w:r>
    </w:p>
    <w:p w:rsidR="006B7E45" w:rsidRPr="00707800" w:rsidRDefault="006B7E45" w:rsidP="007078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7E45" w:rsidRPr="00707800" w:rsidSect="006B7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7800"/>
    <w:rsid w:val="006B7E45"/>
    <w:rsid w:val="00707800"/>
    <w:rsid w:val="00E2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E45"/>
  </w:style>
  <w:style w:type="paragraph" w:styleId="Titolo3">
    <w:name w:val="heading 3"/>
    <w:basedOn w:val="Normale"/>
    <w:link w:val="Titolo3Carattere"/>
    <w:uiPriority w:val="9"/>
    <w:qFormat/>
    <w:rsid w:val="007078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0780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0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7800"/>
    <w:rPr>
      <w:b/>
      <w:bCs/>
    </w:rPr>
  </w:style>
  <w:style w:type="character" w:styleId="Enfasicorsivo">
    <w:name w:val="Emphasis"/>
    <w:basedOn w:val="Carpredefinitoparagrafo"/>
    <w:uiPriority w:val="20"/>
    <w:qFormat/>
    <w:rsid w:val="00707800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078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docs/2021-2027/life/wp-call/2021-2024/call-fiche_life-2021-cet_en.pdf" TargetMode="External"/><Relationship Id="rId13" Type="http://schemas.openxmlformats.org/officeDocument/2006/relationships/hyperlink" Target="https://cinea.ec.europa.eu/life/life-calls-proposals_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nea.ec.europa.eu/life/life-calls-proposals_it" TargetMode="External"/><Relationship Id="rId12" Type="http://schemas.openxmlformats.org/officeDocument/2006/relationships/hyperlink" Target="https://ec.europa.eu/info/funding-tenders/opportunities/docs/2021-2027/life/guidance/list-3rd-country-participation_life_e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info/funding-tenders/opportunities/docs/2021-2027/life/guidance/list-3rd-country-participation_life_en.pdf" TargetMode="External"/><Relationship Id="rId11" Type="http://schemas.openxmlformats.org/officeDocument/2006/relationships/hyperlink" Target="https://ec.europa.eu/info/funding-tenders/opportunities/docs/2021-2027/life/wp-call/2021-2024/call-fiche_life-2021-sap-env_en.pdf" TargetMode="External"/><Relationship Id="rId5" Type="http://schemas.openxmlformats.org/officeDocument/2006/relationships/hyperlink" Target="https://ec.europa.eu/info/funding-tenders/opportunities/docs/2021-2027/life/wp-call/2021-2024/call-fiche_life-2021-sap-nat_en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inea.ec.europa.eu/life/life-calls-proposals_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c.europa.eu/info/funding-tenders/opportunities/docs/2021-2027/life/guidance/list-3rd-country-participation_life_e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2719</Words>
  <Characters>15501</Characters>
  <Application>Microsoft Office Word</Application>
  <DocSecurity>0</DocSecurity>
  <Lines>129</Lines>
  <Paragraphs>36</Paragraphs>
  <ScaleCrop>false</ScaleCrop>
  <Company/>
  <LinksUpToDate>false</LinksUpToDate>
  <CharactersWithSpaces>18184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2021-08-18T10:23:00Z</cp:lastPrinted>
  <dcterms:created xsi:type="dcterms:W3CDTF">2021-08-18T10:17:00Z</dcterms:created>
  <dcterms:modified xsi:type="dcterms:W3CDTF">2021-08-18T10:24:00Z</dcterms:modified>
</cp:coreProperties>
</file>